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18e63454fd77599c3853f868f7e5547cb21c"/>
    <w:p>
      <w:pPr>
        <w:pStyle w:val="Heading3"/>
      </w:pPr>
      <w:r>
        <w:t xml:space="preserve">«Илион» подал в арбитражный суд иски к столичному департаменту СМИ и рекламы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t xml:space="preserve">Напомним, в начале 2015 г. столичный департамент СМИ и рекламы расторг договор с компанией «Илион» (на торгах 2013 г. приобрела 802 места за 13,2 млрд руб). Оператор не смог заплатить в бюджет Москвы 1,3 млрд руб. за второй год работы на столичном рынке наружной рекламы.</w:t>
      </w:r>
      <w:r>
        <w:t xml:space="preserve"> </w:t>
      </w:r>
      <w:r>
        <w:t xml:space="preserve">Представители оператора не раз отмечали, что часть конструкций, около 200 шт., невозможно было установить из-за реконструкции автомагистралей. Оператор пытался договориться с властями об изменении условий контракта. Затем через суд намеревался изменить условия контракта.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http://gorinfor.mos.ru/presscenter/news/detail/3658662.html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58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58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2023-10-03T00:02:43Z</dcterms:created>
  <dcterms:modified xsi:type="dcterms:W3CDTF">2023-10-03T00:02:43Z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