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dc3f8d6c20409d38ddc82e274d2d83c6c7125"/>
    <w:p>
      <w:pPr>
        <w:pStyle w:val="Heading3"/>
      </w:pPr>
      <w:r>
        <w:t xml:space="preserve">Объём индустрии наружной рекламы в первом полугодии 2016 г. составил 16,7 млрд рублей</w:t>
      </w:r>
    </w:p>
    <w:p>
      <w:pPr>
        <w:pStyle w:val="FirstParagraph"/>
      </w:pPr>
      <w:r>
        <w:t xml:space="preserve">31.08.2016</w:t>
      </w:r>
    </w:p>
    <w:p>
      <w:pPr>
        <w:pStyle w:val="BodyText"/>
      </w:pPr>
      <w:r>
        <w:t xml:space="preserve">Суммарный объем рекламы в средствах ее распространения за вычетом НДС составил свыше 160 млрд руб. Это на 17% больше, чем за шесть месяцев прошлого года. Активнее всего рос сгмент интернет-рекламы – 26-30% (55-63 млрд руб.). При этом эксперты разошлись в подходах к его сегмента. «В этой связи комиссия экспертов АКАР посчитала возможным дать значительный интервал в оценке и объема рекламных бюджетов в сегменте, и его динамики. Принято решение продолжить профессиональную дискуссию по выработке оптимальной методики оценки объема сегмента интернет-рекламы», – говорится в сообщении ассоциации.</w:t>
      </w:r>
      <w:r>
        <w:t xml:space="preserve"> </w:t>
      </w:r>
      <w:r>
        <w:t xml:space="preserve">Напомним, в первом квартале 2016 г. наружка заработала 7,5-7,8 млрд руб. за вычетом НДС (рост – плюс 7%, в 2015 г. – минус 27%, 7-7,3 млрд руб.). Сегмент «прочие», куда входят indoor и реклама в кинотеатрах, в январе-марте также продемонстрировал положительный рост – 8% (700 млн руб.).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http://gorinfor.mos.ru/presscenter/news/detail/3644337.html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6443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6443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2023-09-20T16:08:23Z</dcterms:created>
  <dcterms:modified xsi:type="dcterms:W3CDTF">2023-09-20T16:08:23Z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