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bb5562a4c972cea5f49c10f8292491c6b3879"/>
    <w:p>
      <w:pPr>
        <w:pStyle w:val="Heading3"/>
      </w:pPr>
      <w:r>
        <w:t xml:space="preserve">Суд рассмотрит жалобу «Олимпа» на взыскание около 1,8 млрд рублей 5 октября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В конце июня арбитражный суд Москвы частично удовлетворил иск ЗАО «Олимп» к ведомству, обязав правительство Москвы выплатить компании 125 млн руб. При этом суд удовлетворил и встречный иск департамента: по нему уже «Олимп» должен перечислить чиновникам в сумме 1,945 млрд руб.</w:t>
      </w:r>
      <w:r>
        <w:t xml:space="preserve"> </w:t>
      </w:r>
      <w:r>
        <w:t xml:space="preserve">Напомним, 22 января 2016 г. столичный департамент объявил о прекращении действия одного из договоров с компанией «Олимп» из-за того, что компания не смогла своевременно произвести платеж в размере около 730 млн руб. за очередной период за право эксплуатации рекламных конструкций.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http://gorinfor.mos.ru/presscenter/news/detail/3644324.html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644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644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2024-07-28T09:43:37Z</dcterms:created>
  <dcterms:modified xsi:type="dcterms:W3CDTF">2024-07-28T09:43:37Z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