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552b86d00d9882b0dddda62a537baf326f7e5"/>
    <w:p>
      <w:pPr>
        <w:pStyle w:val="Heading3"/>
      </w:pPr>
      <w:r>
        <w:t xml:space="preserve">У столичной outdoor-индустрии ещё есть резерв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t xml:space="preserve">По словам представителя департамента, часть мест под рекламу, вошедших в схему, уже эксплуатировалась действующими операторами: последний из таких договоров на 223 места, который был заключен еще до проведения аукционов в 2013-2014 гг., завершается в этом месяце.</w:t>
      </w:r>
      <w:r>
        <w:t xml:space="preserve"> </w:t>
      </w:r>
      <w:r>
        <w:t xml:space="preserve">Проводить новые рекламные торги в ближайшее время департамент не планирует. Перспективы их проведения будут зависеть от состояния рынка наружной рекламы.</w:t>
      </w:r>
      <w:r>
        <w:t xml:space="preserve"> </w:t>
      </w:r>
      <w:r>
        <w:t xml:space="preserve">Напомним, в 2013 г. в Москве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В начале 2015 г. департамент СМИ и рекламы расторг договор с компанией «Илион». Оператор не смог заплатить в бюджет Москвы 1,3 млрд руб. за второй год работы на столичном рынке наружной рекламы. Представители оператора не раз отмечали, что часть конструкций, выигранных на торгах, невозможно было установить из-за реконструкции автомагистралей.</w:t>
      </w:r>
      <w:r>
        <w:t xml:space="preserve"> </w:t>
      </w:r>
      <w:r>
        <w:t xml:space="preserve">22 января 2016 г. департамент объявил о прекращении действия одного из договоров с компанией «Олимп»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http://gorinfor.mos.ru/presscenter/news/detail/3340984.html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340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340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2025-07-30T00:36:23Z</dcterms:created>
  <dcterms:modified xsi:type="dcterms:W3CDTF">2025-07-30T00:36:23Z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