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6b4176e747af341af780e1ec89244008dc221"/>
    <w:p>
      <w:pPr>
        <w:pStyle w:val="Heading3"/>
      </w:pPr>
      <w:r>
        <w:t xml:space="preserve">Апелляционный суд отклонил жалобу «Рекламного формата»</w:t>
      </w:r>
    </w:p>
    <w:p>
      <w:pPr>
        <w:pStyle w:val="FirstParagraph"/>
      </w:pPr>
      <w:r>
        <w:t xml:space="preserve">14.07.2016</w:t>
      </w:r>
    </w:p>
    <w:p>
      <w:pPr>
        <w:pStyle w:val="BodyText"/>
      </w:pPr>
      <w:r>
        <w:t xml:space="preserve">Ранее арбитражный суд Москвы принял решение, согласно которому «Рекламный формат» должен выплатить «Мострансавто» 422,85 млн руб. Предприятие подало иск к рекламному подрядчику после того. Как в октябре 2015 г. разорвало трехлетний контракт на размещение рекламы на транспорте в Подмосковье из-за задержек с выплатами.</w:t>
      </w:r>
      <w:r>
        <w:t xml:space="preserve"> </w:t>
      </w:r>
      <w:r>
        <w:t xml:space="preserve">Теперь «Рекламный формат» может обжаловать постановление аппеляционного суда в течение двух месяцев в кассационном порядке в Арбитражном суде Московского округа.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http://gorinfor.mos.ru/presscenter/news/detail/3340979.html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340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340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2023-09-20T16:13:40Z</dcterms:created>
  <dcterms:modified xsi:type="dcterms:W3CDTF">2023-09-20T16:13:40Z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