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622fb45860055bf9b3bf1b8362f7bb65d8b07"/>
    <w:p>
      <w:pPr>
        <w:pStyle w:val="Heading3"/>
      </w:pPr>
      <w:r>
        <w:t xml:space="preserve">TMG объявляет о новой эпохе рекламы на общественном транспорте Москвы</w:t>
      </w:r>
    </w:p>
    <w:p>
      <w:pPr>
        <w:pStyle w:val="FirstParagraph"/>
      </w:pPr>
      <w:r>
        <w:t xml:space="preserve">11.07.2016</w:t>
      </w:r>
    </w:p>
    <w:p>
      <w:pPr>
        <w:pStyle w:val="BodyText"/>
      </w:pPr>
      <w:r>
        <w:t xml:space="preserve">В рамках реформы, более 2,3 тыс. совершенно новых «синих» автобусов, оснащенных всеми современными системами, включая ГЛОНАСС, поступили в парки коммерческих перевозчиков и будут обслуживать городские маршруты.</w:t>
      </w:r>
      <w:r>
        <w:t xml:space="preserve"> </w:t>
      </w:r>
      <w:r>
        <w:t xml:space="preserve">Количество транспортных средств большой вместимости увеличилось до 700 единиц. Оператором по управлению рекламными поверхностями по-прежнему является TMG. Официальный старт продаж нового инвентаря намечен на 6 июля.</w:t>
      </w:r>
      <w:r>
        <w:t xml:space="preserve"> </w:t>
      </w:r>
      <w:r>
        <w:t xml:space="preserve">«Объективно, реструктуризация рынка общественных перевозок - это рывок в развитии московской рекламы на транспорте, – комментирует председатель совета директоров TMG Алексей Тарасов. – Увеличение количества больших автобусов и существенное улучшение транспортной программы обеспечивает новые возможности для размещения рекламы на улицах столицы».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http://gorinfor.mos.ru/presscenter/news/detail/3319934.html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3199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3199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2024-06-27T15:27:40Z</dcterms:created>
  <dcterms:modified xsi:type="dcterms:W3CDTF">2024-06-27T15:27:40Z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