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de8abd4547e23ea6c6a4c80a20b4c79b801dc"/>
    <w:p>
      <w:pPr>
        <w:pStyle w:val="Heading3"/>
      </w:pPr>
      <w:r>
        <w:t xml:space="preserve">Власти Москвы запретили рекламу на таксофонах</w:t>
      </w:r>
    </w:p>
    <w:p>
      <w:pPr>
        <w:pStyle w:val="FirstParagraph"/>
      </w:pPr>
      <w:r>
        <w:t xml:space="preserve">19.06.2016</w:t>
      </w:r>
    </w:p>
    <w:p>
      <w:pPr>
        <w:pStyle w:val="BodyText"/>
      </w:pPr>
      <w:r>
        <w:t xml:space="preserve">В новой редакции правил введен прямой запрет на использование таксофонов как объектов наружной рекламы. В ближайшее время все рекламные изображения на телефонных кабинах будут удалены. По подсчетам департамента, незаконные рекламные объявления на регулярной основе размещались примерно на 500 городских таксофонах (всего в столице, согласно схеме размещения таксофонов, утвержденной в прошлом году, в столице должно остаться 994 уличных аппарата, предназначенных только для связи).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http://gorinfor.mos.ru/presscenter/news/detail/3185042.html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185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185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2025-07-30T01:50:11Z</dcterms:created>
  <dcterms:modified xsi:type="dcterms:W3CDTF">2025-07-30T01:50:11Z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