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371388f41b7604f3c4d21f6cccdeb59768271"/>
    <w:p>
      <w:pPr>
        <w:pStyle w:val="Heading3"/>
      </w:pPr>
      <w:r>
        <w:t xml:space="preserve">Во время благоустройства территорий рекламные конструкции в центре Москвы останутся на своих местах</w:t>
      </w:r>
    </w:p>
    <w:p>
      <w:pPr>
        <w:pStyle w:val="FirstParagraph"/>
      </w:pPr>
      <w:r>
        <w:t xml:space="preserve">06.06.2016</w:t>
      </w:r>
    </w:p>
    <w:p>
      <w:pPr>
        <w:pStyle w:val="BodyText"/>
      </w:pPr>
      <w:r>
        <w:t xml:space="preserve">Если конструкцию переносят, это относится к «городским случаям», которые оговариваются представителями власти с операторами наружной рекламы в соответствующих соглашениях. В частности, локальный перенос в ходе работ на Новом Арбате затронул 70 процентов из 42 установленных в данном месте рекламных носителей.</w:t>
      </w:r>
      <w:r>
        <w:t xml:space="preserve"> </w:t>
      </w:r>
      <w:r>
        <w:t xml:space="preserve">По окончании работ общее количество рекламных щитов планируется оставить прежним. В рамках проекта «Моя улица» планируется обширное озеленение города, создания зон отдыха и парковочных мест.</w:t>
      </w:r>
      <w:r>
        <w:t xml:space="preserve"> </w:t>
      </w:r>
      <w:r>
        <w:t xml:space="preserve">В ведомстве отметили, что департамент тесно контактирует с бюро «Стрелка», которое является проектировщиком программы «Моя улица». Специалисты активно обсуждают последствия работ по благоустройству для наружной рекламы, а также продумывают временные схемы размещения конструкций на других улицах, где тоже проводят реконструкцию по индивидуальным проектам. Речь идет о Тверской, Садовом и Бульварном кольцах.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http://gorinfor.mos.ru/presscenter/news/detail/3085469.html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085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085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2025-06-12T15:37:07Z</dcterms:created>
  <dcterms:modified xsi:type="dcterms:W3CDTF">2025-06-12T15:37:07Z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