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ружка-внесла-свою-долю-в-бюджет-москвы"/>
    <w:p>
      <w:pPr>
        <w:pStyle w:val="Heading3"/>
      </w:pPr>
      <w:r>
        <w:t xml:space="preserve">Наружка внесла свою долю в бюджет Москвы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t xml:space="preserve">Напомним, в 2013 г. в Москве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«Вера&amp;Олимп»).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начале 2015 г. департамент СМИ и рекламы расторгло договор с компанией «Илион» (802 места, стоимость контракта – 13,2 млрд руб.). Оператор не смог заплатить в бюджет Москвы 1,3 млрд руб. за второй год работы на столичном рынке наружной рекламы.</w:t>
      </w:r>
      <w:r>
        <w:t xml:space="preserve"> </w:t>
      </w:r>
      <w:r>
        <w:t xml:space="preserve">А 22 января 2016 г. ведомство объявило о прекращении действия одного из договоров с компанией «Олимп» (дочка группы «Вера-Олимп»)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http://gorinfor.mos.ru/presscenter/news/detail/3085464.html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85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85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2025-06-12T18:10:05Z</dcterms:created>
  <dcterms:modified xsi:type="dcterms:W3CDTF">2025-06-12T18:10:05Z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