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кламодатели-возвращаются-в-наружку"/>
    <w:p>
      <w:pPr>
        <w:pStyle w:val="Heading3"/>
      </w:pPr>
      <w:r>
        <w:t xml:space="preserve">Рекламодатели возвращаются в наружку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Напомним, согласно оценкам комиссии экспертов Ассоциации коммуникационных агентств России (АКАР), объём российской индустрии наружной рекламы по итогам 2015 г. составил 32 млрд руб. (здесь и далее за вычетом НДС) Это на 21% меньше, чем годом ранее. Indoor-сегмент в прошлом году заработал 3,3 млрд руб., что на 20% меньше, чем в 2014 г. Объём рекламы в кинотеатрах снизился на 14%, до 0,9 млрд руб.</w:t>
      </w:r>
      <w:r>
        <w:t xml:space="preserve"> </w:t>
      </w:r>
      <w:r>
        <w:t xml:space="preserve">Региональные сегменты outdoor-индустрии в прошлом году также демонстрировали падение. Больше всего в 2015 г. потеряла наружки Самары – минус 34% (400 млн руб.). Меньше всего – минус 8% – отрасль просела в Нижнем Новгороде (469 млн руб.) и Новосибирске (820 млн руб.). В абсолютных цифрах больше всего денег заработала наружка Санкт-Петербурга – 3,3 млрд руб. (минус 24%).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http://gorinfor.mos.ru/presscenter/news/detail/2951576.html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2023-09-20T16:19:16Z</dcterms:created>
  <dcterms:modified xsi:type="dcterms:W3CDTF">2023-09-20T16:19:16Z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