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636feebfadd9dbe3acb81a1343f381886fbe9"/>
    <w:p>
      <w:pPr>
        <w:pStyle w:val="Heading3"/>
      </w:pPr>
      <w:r>
        <w:t xml:space="preserve">Суд рассмотрит иск «Олимпа» к департаменту СМИ и рекламы Москвы 25 мая</w:t>
      </w:r>
    </w:p>
    <w:p>
      <w:pPr>
        <w:pStyle w:val="FirstParagraph"/>
      </w:pPr>
      <w:r>
        <w:t xml:space="preserve">26.04.2016</w:t>
      </w:r>
    </w:p>
    <w:p>
      <w:pPr>
        <w:pStyle w:val="BodyText"/>
      </w:pPr>
      <w:r>
        <w:t xml:space="preserve">Напомним, 22 января 2016 г. столичный департамент объявил о прекращении действия одного из договоров с компанией «Олимп» (дочка группы «Вера-Олимп») из-за того, что компания не смогла своевременно произвести платеж в размере около 730 млн руб. за очередной период за право эксплуатации рекламных конструкций.</w:t>
      </w:r>
      <w:r>
        <w:t xml:space="preserve"> </w:t>
      </w:r>
      <w:r>
        <w:t xml:space="preserve">В свою очередь «Олимп» подал иск к департаменту. Оператор хочет взыскать с ведомства более 1 млрд руб., и просит суд признать суд незаконным соглашение о расторжении договора на установку 687 рекламных щитов, отменить решение об аннуляции разрешений на эксплуатацию этих конструкций, внести изменения в заключенный в 2013 г. договор, а также снизить с 14 ноября 2015 г. ежегодный платеж по этому договору на 236 млн руб., до 929 млн руб. В результате общий платеж за десять лет, по версии компании, по этому договору не должен превысить 9,5 млрд руб.</w:t>
      </w:r>
      <w:r>
        <w:t xml:space="preserve"> </w:t>
      </w:r>
      <w:r>
        <w:t xml:space="preserve">В 2013 г. в Москве было разыграно 7366 рекламных конструкций. Тогда победителями стали семь компаний: Russ Outdoor, ООО «ХПО»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«Олимп». На торги выставлялось 1465 площадок. Итоговая стоимость составила свыше 20 млрд руб.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http://gorinfor.mos.ru/presscenter/news/detail/2850422.html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850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850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2024-06-25T07:10:45Z</dcterms:created>
  <dcterms:modified xsi:type="dcterms:W3CDTF">2024-06-25T07:10:45Z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