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3ed304021f03a51fcc3eb881039dc0e9cd5ac"/>
    <w:p>
      <w:pPr>
        <w:pStyle w:val="Heading3"/>
      </w:pPr>
      <w:r>
        <w:t xml:space="preserve">«Банк Москвы» призывает не проспать ипотеку с господдержкой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t xml:space="preserve">В размещении задействованы билборды 6х3 м, оборудованные экстендерами. Адресная программа включает в себя конструкции, расположенные на основных автомагистралях города – Ленинградском, Кутузовском проспектах, Можайском, Аминьевском шоссе и других.</w:t>
      </w:r>
      <w:r>
        <w:t xml:space="preserve"> </w:t>
      </w:r>
      <w:r>
        <w:t xml:space="preserve">Основная задача проекта – максимальное информирование аудитории о программе «Ипотека с господдержкой», которая дает возможность клиентам «Банка Москвы», государственным служащим, приобрести жилье в новостройке по льготной ставке от 11,75%.</w:t>
      </w:r>
      <w:r>
        <w:t xml:space="preserve"> </w:t>
      </w:r>
      <w:r>
        <w:t xml:space="preserve">Для продвижения продукта используются постеры со слоганом «Не проспите ипотеку с господдержкой!». Ключевой месседж рекламной кампании привлекает особое внимание и отлично виден в любое время суток благодаря световым экстендерам, изготовленным на производстве outdoor-оператора Gallery.</w:t>
      </w:r>
      <w:r>
        <w:t xml:space="preserve"> </w:t>
      </w:r>
      <w:r>
        <w:t xml:space="preserve">«Для выделения контура и слогана были использованы светодиодные источники света. Это эффективная и яркая технология подсветки, потребляющая минимум электроэнергии, что немаловажно для данной конструкции, так как площадь элементов составляет 6 кв. м. Применение такой технологии позволяет сделать внешнюю подсветку общего плана конструкции необычайно заметной, создать имитацию неонового света», – рассказывает начальник отдела технических исследований и разработок Gallery Марина Кованова.</w:t>
      </w:r>
      <w:r>
        <w:t xml:space="preserve"> </w:t>
      </w:r>
      <w:r>
        <w:t xml:space="preserve">«Креатив рекламной кампании, нацеленный на призыв к определенному действию – покупке жилья, поддержан ярким, бодрящим, привлекающим внимание нестандартным исполнением. В сочетании с правильным размещением эта кампания не может остаться незамеченной», – отмечает баинг-директор «Игроник Медиа» Анна Минина.</w:t>
      </w:r>
      <w:r>
        <w:t xml:space="preserve"> </w:t>
      </w:r>
      <w:r>
        <w:t xml:space="preserve">Кроме наружной рекламы в кампании задействованы Интернет и радио.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http://gorinfor.mos.ru/presscenter/news/detail/2850418.html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2024-06-26T08:40:15Z</dcterms:created>
  <dcterms:modified xsi:type="dcterms:W3CDTF">2024-06-26T08:40:15Z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