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b56d84bd4e842eeeab73bc0845c56cdcd1a0"/>
    <w:p>
      <w:pPr>
        <w:pStyle w:val="Heading3"/>
      </w:pPr>
      <w:r>
        <w:t xml:space="preserve">Красную площадь в Москве к 1 Мая украсят за 18 млн рублей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Согласно тендерной документации, подрядчику предстоит разместить на площади восемь баннерных конструкций (около Мавзолея, передвижной телестанции, ГУМа и Лобного места). Общая площадь баннера на каждую конструкцию должна составлять не менее 412,6 кв. м.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2024-06-25T17:34:03Z</dcterms:created>
  <dcterms:modified xsi:type="dcterms:W3CDTF">2024-06-25T17:34:03Z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