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f693c153a0c68831c4ecb4b8d1127f0f7bc2a"/>
    <w:p>
      <w:pPr>
        <w:pStyle w:val="Heading3"/>
      </w:pPr>
      <w:r>
        <w:t xml:space="preserve">На московском общественном транспорте вновь будет размещаться социальная реклама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Цена размещения составляет 80% от коммерческой стоимости транзитной рекламы. Длительность кампании зависит от способа расклейки: от 1 до 2 месяцев при нанесении информации на отдельные участки бортов и стёкол и до полугода в случае полноразмерного изображения. Координировать размещение соцрекламы будет департамент СМИ и рекламы.</w:t>
      </w:r>
      <w:r>
        <w:t xml:space="preserve"> </w:t>
      </w:r>
      <w:r>
        <w:t xml:space="preserve">В начале года «Мосгортранс» заявил о возобновлении размещения транзитной рекламы на наземном городском транспорте собственными силами. Для размещения «социалки» на объектах наружной рекламы, на общественном транспорте, в московском метро, в СМИ и Интернете создана межведомственная комиссия по распространению рекламы.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http://gorinfor.mos.ru/presscenter/news/detail/2685071.html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5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2024-06-25T17:53:44Z</dcterms:created>
  <dcterms:modified xsi:type="dcterms:W3CDTF">2024-06-25T17:53:44Z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