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652aeddddbc5de1efc44b30baf6fb50534e45"/>
    <w:p>
      <w:pPr>
        <w:pStyle w:val="Heading3"/>
      </w:pPr>
      <w:r>
        <w:t xml:space="preserve">МУГИСО подписало соглашение департаментом СМИ и рекламы Москвы о сотрудничестве в сфере наружной рекламы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«Мы внимательно изучаем различные региональные практики организации рынка наружной рекламы с тем, чтобы упорядочить отрасль, не нанося ущерба игрокам, выстроить максимально эффективное взаимодействие между органами государственной власти и операторами», – рассказал глава МУГИСО Алексей Пьянков.</w:t>
      </w:r>
      <w:r>
        <w:t xml:space="preserve"> </w:t>
      </w:r>
      <w:r>
        <w:t xml:space="preserve">По его словам, московский опыт привлекателен тем, что в столице удалось избавиться почти от всей незаконной рекламы, внедрить четкие, понятные всем участникам рынка правила. Сейчас перед МУГИСО стоят те же задачи в Свердловской области.</w:t>
      </w:r>
      <w:r>
        <w:t xml:space="preserve"> </w:t>
      </w:r>
      <w:r>
        <w:t xml:space="preserve">Как ранее сообщалось, МУГИСО завершает разработку концепции наружной рекламы, в которой пойдет речь о наведении порядка на рынке и введении единых стандартов. В частности, исторический центр Екатеринбурга планируется очистить от крупноформатной и незаконной рекламы. По данным правительства региона, в городе предлагается около 12 тыс. мест для размещения наружки, 70% размещенной рекламы не соответствует законодательству.</w:t>
      </w:r>
      <w:r>
        <w:t xml:space="preserve"> </w:t>
      </w:r>
      <w:r>
        <w:t xml:space="preserve">Источник: Znak.com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2023-09-20T16:23:59Z</dcterms:created>
  <dcterms:modified xsi:type="dcterms:W3CDTF">2023-09-20T16:23:59Z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