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78699a0a36453a20c32c388651ab45743128"/>
    <w:p>
      <w:pPr>
        <w:pStyle w:val="Heading3"/>
      </w:pPr>
      <w:r>
        <w:t xml:space="preserve">DMA Group займётся размещением наружной рекламы «Ростелекома» в Москве</w:t>
      </w:r>
    </w:p>
    <w:p>
      <w:pPr>
        <w:pStyle w:val="FirstParagraph"/>
      </w:pPr>
      <w:r>
        <w:t xml:space="preserve">14.03.2016</w:t>
      </w:r>
    </w:p>
    <w:p>
      <w:pPr>
        <w:pStyle w:val="BodyText"/>
      </w:pPr>
      <w:r>
        <w:t xml:space="preserve">Согласно договору DMA Group будет размещать рекламу «Ростелекома» на статичных щитах 6х3 м, digital-билбордах, digital-суперсайтах, на автобусных остановках. Кроме того, подрядчик должен обеспечивать производство, монтаж, демонтаж рекламных материалов и обслуживание конструкций.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http://gorinfor.mos.ru/presscenter/news/detail/2592623.html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5926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2025-05-24T10:27:36Z</dcterms:created>
  <dcterms:modified xsi:type="dcterms:W3CDTF">2025-05-24T10:27:36Z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