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2e9fce81fafb075cc4b010369851b3a358b5"/>
    <w:p>
      <w:pPr>
        <w:pStyle w:val="Heading3"/>
      </w:pPr>
      <w:r>
        <w:t xml:space="preserve">Арбитражный суд отказал «Медиа партнеру» в принятии обеспечительных мер по иску к столичной подземке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1 марта «Медиа партнер» подала к ГУП «Московский метрополитен» иск в арбитражный суд Москвы. Ранее пожаловалась в ФАС на столичную подземку из-за того, что не может участвовать в предстоящих аукционе по поиску рекламного подрядчика метро, поскольку ГУП при организации торгов допустил нарушения. У компании семь претензий к метрополитену. В частности, отсутствие информации о местах установки рекламных конструкций, невозможность получить банковскую гарантию в сроки, указанные в проекте договора, завышенные требования к банкам-гарантам, навязывание участником торгов заведомо невыгодных условий и т. д. Кроме того из-за допущенных организатором торгов нарушений «Медиа Партнер» не может провести расчет затрат и доходов.</w:t>
      </w:r>
      <w:r>
        <w:t xml:space="preserve"> </w:t>
      </w:r>
      <w:r>
        <w:t xml:space="preserve">Напомним, в январе ГУП «Московский метрополитен объявил тендер на поиск рекламного подрядчика. Стоимость контракта составляет почти 17,6 млрд руб. (начальная цена). Сумма обеспечения заявки – 175,7 млн руб. Срок действия договора – 10 лет.</w:t>
      </w:r>
      <w:r>
        <w:t xml:space="preserve"> </w:t>
      </w:r>
      <w:r>
        <w:t xml:space="preserve">Подрядчик должен установить в вагонах метро минимум видеоэкраны, в подземных переходах и на платформах станций должны появиться широкоформатные экраны и видеостены.</w:t>
      </w:r>
      <w:r>
        <w:t xml:space="preserve"> </w:t>
      </w:r>
      <w:r>
        <w:t xml:space="preserve">По имеющейся информации в торгах планируют участвовать, в частности, компании «Диджитал Аутдор» (50% принадлежит ooh-оператору «Лайса»), Russ Outdoor, «Гема».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2023-09-20T16:28:31Z</dcterms:created>
  <dcterms:modified xsi:type="dcterms:W3CDTF">2023-09-20T16:28:31Z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