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60561535a0b06c6208d4f507a83eb2d443139"/>
    <w:p>
      <w:pPr>
        <w:pStyle w:val="Heading3"/>
      </w:pPr>
      <w:r>
        <w:t xml:space="preserve">«Банк Москвы потратит на наружную рекламу в 2016 году 79 млн рублей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t xml:space="preserve">Согласно договору, «Светотехническая компания» будет осуществлять федеральное размещение рекламы банка на щитах 6х3 м, ситибордах, перетяжках, в пешеходных переходах, метро и других носителях. В адресной программе Москва, Санкт-Петербург, Омск, Ростов-на-Дону, Казань, Волгоград и др.</w:t>
      </w:r>
      <w:r>
        <w:t xml:space="preserve"> </w:t>
      </w:r>
      <w:r>
        <w:t xml:space="preserve">Стоит отметить, что в прошлом году «Светотехническая компания» также выиграла тендр «Банка Москвы» на размещение ooh-рекламы. В целом банк и компания сотрудничают с 2011 г.</w:t>
      </w:r>
      <w:r>
        <w:t xml:space="preserve"> </w:t>
      </w:r>
      <w:r>
        <w:t xml:space="preserve">В свою очередь размещать рекламу банка в 2016 г. в печатных СМИ и на радио по итогам тендера будет компания «Астрис». Сумма контракта составляет 20 млн и 12,5 млн руб. соответственно.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http://gorinfor.mos.ru/presscenter/news/detail/2592598.html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92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92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2024-06-20T00:12:46Z</dcterms:created>
  <dcterms:modified xsi:type="dcterms:W3CDTF">2024-06-20T00:12:46Z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