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27f3456ce0d803ed207bc3c0f844463320aae"/>
    <w:p>
      <w:pPr>
        <w:pStyle w:val="Heading3"/>
      </w:pPr>
      <w:r>
        <w:t xml:space="preserve">Торги на право размещения рекламы в Московском метрополитене приостановлены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Федеральная антимонопольная служба приняла к рассмотрению жалобу «Медиа Партнер» на действия ГУП «Московский метрополитен» – организатора электронного аукциона по выбору на 10 лет нового рекламного партнера. В результате торги приостановлены до рассмотрения жалобы по существу.</w:t>
      </w:r>
      <w:r>
        <w:t xml:space="preserve"> </w:t>
      </w:r>
      <w:r>
        <w:t xml:space="preserve">У компании семь претензий к метрополитену. В частности, отсутствие информации о местах установки рекламных конструкций, невозможность получить банковскую гарантию в сроки, указанные в проекте договора, завышенные требования к банкам-гарантам, навязывание участником торгов заведомо невыгодных условий и т.д.</w:t>
      </w:r>
      <w:r>
        <w:t xml:space="preserve"> </w:t>
      </w:r>
      <w:r>
        <w:t xml:space="preserve">«Медиа Партнер» заинтересован в участии в объявленном аукционе и получении прав на размещении рекламы в метрополитене, говорится в тексте жалобы. Однако, констатирует компания, из-за допущенных организатором торгов нарушений «расчет затрат и доходов не представляется возможным».</w:t>
      </w:r>
      <w:r>
        <w:t xml:space="preserve"> </w:t>
      </w:r>
      <w:r>
        <w:t xml:space="preserve">Напомним, в январе ГУП «Московский метрополитен объявил тендер на поиск рекламного подрядчика. Стоимость контракта составляет почти 17,6 млрд руб. (начальная цена). Шаг аукциона составит 5% от начальной цены договора (878,3 млн руб.). Сумма обеспечения заявки – 175,7 млн руб. Срок действия договора – 10 лет.</w:t>
      </w:r>
      <w:r>
        <w:t xml:space="preserve"> </w:t>
      </w:r>
      <w:r>
        <w:t xml:space="preserve">Подрядчик должен установить в вагонах метро минимум видеоэкраны, в подземных переходах и на платформах станций должны появиться широкоформатные экраны и видеостены.</w:t>
      </w:r>
      <w:r>
        <w:t xml:space="preserve"> </w:t>
      </w:r>
      <w:r>
        <w:t xml:space="preserve">Как известно, в июле прошлого года Московский метрополитен в одностороннем порядке расторг договор с «Авто Селлом». По словам представителей ГУП, сначала «Авто Селл» исправно выполнял свои обязательства. Но в апреле этого года перестал делать необходимые платежи. В итоге общий долг компании перед Московским метрополитеном по состоянию на 30 июня составил более 1,12 млрд руб.</w:t>
      </w:r>
      <w:r>
        <w:t xml:space="preserve"> </w:t>
      </w:r>
      <w:r>
        <w:t xml:space="preserve">Метрополитен обратился в Арбитражный суд Москвы о взыскании образовавшейся задолженности по причине её непогашения в добровольном порядке. В ноябре «Авто Селл» подал встречный иск к метрополитену, потребовав компенсировать 1,78 млрд. Компания посчитала, что переплатила метрополитену и недополучила выгоду от размещении наружной рекламы в вагонах и на станциях.</w:t>
      </w:r>
      <w:r>
        <w:t xml:space="preserve"> </w:t>
      </w:r>
      <w:r>
        <w:t xml:space="preserve">В итоге московский арбитражный суд постановил взыскать с оператора «Авто Селл» в пользу Московского метрополитена сумму в размере 1,126 млрд руб. Таким образом суд встал на сторону столичной подземки в её споре с бывшим рекламным подрядчиком.</w:t>
      </w:r>
      <w:r>
        <w:t xml:space="preserve"> </w:t>
      </w:r>
      <w:r>
        <w:t xml:space="preserve">«Авто Селл» выиграл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http://gorinfor.mos.ru/presscenter/news/detail/2592587.html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2024-07-07T07:43:39Z</dcterms:created>
  <dcterms:modified xsi:type="dcterms:W3CDTF">2024-07-07T07:43:39Z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