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339ca93d1e71b7bafcf7e31542856583f28c3"/>
    <w:p>
      <w:pPr>
        <w:pStyle w:val="Heading3"/>
      </w:pPr>
      <w:r>
        <w:t xml:space="preserve">Власти Москвы могут упростить правила установки и эсплуатации рекламных конструкций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t xml:space="preserve">В частности, предлагаемые поправки предполагают упростить процедуру внесения изменений в разрешения на установку и эксплуатацию рекламоносителей при смене их собственника. Существующие правила не предусматривают документ, подтверждающий переход права владения конструкцией.</w:t>
      </w:r>
      <w:r>
        <w:t xml:space="preserve"> </w:t>
      </w:r>
      <w:r>
        <w:t xml:space="preserve">Так же проще должна стать процедура внесения изменений в разрешительную документацию в части смены технологий изображения. «Учитывая, что в настоящее время оформлено более 18 тыс. разрешений на установку и эксплуатацию рекламных конструкций, востребованность в предоставлении государственной услуги по внесению изменения в разрешение на установку и эусплуатацию рекламных конструкций высокая»,- говорится в пояснительной записке к постановлению.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http://gorinfor.mos.ru/presscenter/news/detail/2460153.html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60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60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2025-07-23T20:56:52Z</dcterms:created>
  <dcterms:modified xsi:type="dcterms:W3CDTF">2025-07-23T20:56:52Z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