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9fc91a75a95cb247702cc480417cbc57d1926d"/>
    <w:p>
      <w:pPr>
        <w:pStyle w:val="Heading3"/>
      </w:pPr>
      <w:r>
        <w:t xml:space="preserve">Агентство «Нью-Тон» займётся размещением рекламы на транспорте ГУП «Мосгортранс»</w:t>
      </w:r>
    </w:p>
    <w:p>
      <w:pPr>
        <w:pStyle w:val="FirstParagraph"/>
      </w:pPr>
      <w:r>
        <w:t xml:space="preserve">18.01.2016</w:t>
      </w:r>
    </w:p>
    <w:p>
      <w:pPr>
        <w:pStyle w:val="BodyText"/>
      </w:pPr>
      <w:r>
        <w:t xml:space="preserve">«Наше агентство будет заниматься медиапланированием самостоятельно, опираясь на многолетний опыт и знания. «Нью-Тон» будет подбирать маршруты в зависимости от маркетинговых задач клиента. Мы полагаем, что рекламодатели получат мощный отклик от рекламы на транспорте с учетом того, что в течение года реклама на транспорте в Москве отсутствовала», – комментирует генеральный директор рекламного агентства Нью-Тон Вячеслав Сидоренков.</w:t>
      </w:r>
      <w:r>
        <w:t xml:space="preserve"> </w:t>
      </w:r>
      <w:r>
        <w:t xml:space="preserve">Классификация типов транспортных средств не изменилась. «Мосгорстранс» предоставляет под рекламоносители ТС большой вместимости (длина от 7 до 16 м), особо большой вместимости (длина от 12 до 15 м), сцепленные ТС (более 15 м) и малой вместимости (до 7 м).</w:t>
      </w:r>
      <w:r>
        <w:t xml:space="preserve"> </w:t>
      </w:r>
      <w:r>
        <w:t xml:space="preserve">Категории маршрутов делятся на три вида. К категории «А» относятся маршруты, проходящие внутри Садового кольца и через Садовое кольцо, категория «В» включает маршруты, проходящие внутри ТТК и пересекающие ТТК, в категорию «С» входят все остальные маршруты.</w:t>
      </w:r>
      <w:r>
        <w:t xml:space="preserve"> </w:t>
      </w:r>
      <w:r>
        <w:t xml:space="preserve">Виды оформления претерпели незначительные изменения. «Нью-Тон» предлагает своим клиентам полное оформление с возможностью нанесения изображений на остекление (не более 30% от площади остекления). Минимальный срок рекламной такой рекламной кампании составит шесть месяцев.</w:t>
      </w:r>
      <w:r>
        <w:t xml:space="preserve"> </w:t>
      </w:r>
      <w:r>
        <w:t xml:space="preserve">Второй вариант – бортовое оформление, которое раньше мы называли «медиаборт». При таком размещении реклама располагается на левом борту кузова и остекления транспортного средства. Минимальный срок рекламной кампании в этом случае – два месяца.</w:t>
      </w:r>
      <w:r>
        <w:t xml:space="preserve"> </w:t>
      </w:r>
      <w:r>
        <w:t xml:space="preserve">Отдельно в продажу выводится оформление внешней поверхности задней части кузова ТС, исключая остекление. Размещение этого типа в терминологии государственного подрядчика называется «Смартборт» (возможно на автобусах и троллейбусах). Минимальный срок рекламной кампании на заднике ТС – два месяца.</w:t>
      </w:r>
      <w:r>
        <w:t xml:space="preserve"> </w:t>
      </w:r>
      <w:r>
        <w:t xml:space="preserve">ГУП «Мосгортранс» вывел в продажу также новый и относительно недорогой формат рекламы, называемый «бортовой стикер». Располагается бортовой стикер на левом борту кузова. Минимальный срок рекламной кампании один месяц.</w:t>
      </w:r>
      <w:r>
        <w:t xml:space="preserve"> </w:t>
      </w:r>
      <w:r>
        <w:t xml:space="preserve">«Рекламное агентство «Нью-Тон» занимается рекламой на транспорте с первых дней своего основания. Высокое качество сервиса всегда было одной из наших основных задач. Сейчас мы так же работаем в этом направлении. Надеемся, что наше сотрудничество с ГУП «Мосгортранс» сделает рекламные кампании наших клиентов наиболее эффективными. При этом мы продолжим улучшать качество оказываемых услуг, уделяя особое внимание скорости обработки запросов и эффективности предлагаемых кампаний», – говорит исполнительный директор агентства «Нью-Тон» Овик Саркисян.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http://gorinfor.mos.ru/presscenter/news/detail/2441368.html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 города Москвы «Городская реклама и информация»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36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rinfor.mos.ru" TargetMode="External" /><Relationship Type="http://schemas.openxmlformats.org/officeDocument/2006/relationships/hyperlink" Id="rId20" Target="http://gorinfor.mos.ru/presscenter/news/detail/244136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2024-11-18T19:59:09Z</dcterms:created>
  <dcterms:modified xsi:type="dcterms:W3CDTF">2024-11-18T19:59:09Z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