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e1d16e4608e7aacddd64beb3a8c8d4eee4be6"/>
    <w:p>
      <w:pPr>
        <w:pStyle w:val="Heading3"/>
      </w:pPr>
      <w:r>
        <w:t xml:space="preserve">В 2015 году в Москве одобрено 630 заявок на размещение социальной рекламы</w:t>
      </w:r>
    </w:p>
    <w:p>
      <w:pPr>
        <w:pStyle w:val="FirstParagraph"/>
      </w:pPr>
      <w:r>
        <w:t xml:space="preserve">18.01.2016</w:t>
      </w:r>
    </w:p>
    <w:p>
      <w:pPr>
        <w:pStyle w:val="BodyText"/>
      </w:pPr>
      <w:r>
        <w:t xml:space="preserve">Иван Шубин также добавил, что основной упор при распределении площадей для размещения социальной рекламы делается на культурно-досуговые и культурно-массовые мероприятия, выставки и т. д.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http://gorinfor.mos.ru/presscenter/news/detail/2441138.html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4411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4411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2023-11-01T16:35:40Z</dcterms:created>
  <dcterms:modified xsi:type="dcterms:W3CDTF">2023-11-01T16:35:40Z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