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f42a608d4a18d8eabdc506fcfa4b020df67ce"/>
    <w:p>
      <w:pPr>
        <w:pStyle w:val="Heading3"/>
      </w:pPr>
      <w:r>
        <w:t xml:space="preserve">В московских маршрутках станет меньше рекламы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t xml:space="preserve">Коммерческую рекламу можно размещать на корпусе автобусов, но строго на отведенных для нее площадях. Так, пленкой с рекламным сообщением разрешается обклеить пространство по бокам кузова ниже окон и прямоугольник на задней части кузова без захвата стекол.</w:t>
      </w:r>
      <w:r>
        <w:t xml:space="preserve"> </w:t>
      </w:r>
      <w:r>
        <w:t xml:space="preserve">На переднем борту транспортного средства будет размещен логотип Московского транспорта. На правой и левой стороне подвижного состава над окнами будет расположен узор бренда. Логотип с названием транспортной компании также появится на автобусах.</w:t>
      </w:r>
      <w:r>
        <w:t xml:space="preserve"> </w:t>
      </w:r>
      <w:r>
        <w:t xml:space="preserve">«Отсутствие правил размещения рекламных сообщений привело к тому, что навязчивые предложения занимали даже поверхности окон и дверей, вызывая тем самым дискомфорт пассажиров. Внедрение новой модели управления коммерческим транспортом позволит разрешить вопрос размещения рекламы выгодно и для перевозчика, и для пассажира. Доход от продажи рекламных площадей по-прежнему останется у частных перевозчиков, что станет для них дополнительной статьей дохода», – цитирует заместителя руководителя департамента транспорта и развития дорожно-транспортной инфраструктуры Москвы Дмитрия Пронина пресс-служба ведомства.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http://gorinfor.mos.ru/presscenter/news/detail/2301412.html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01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01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2024-06-25T17:28:54Z</dcterms:created>
  <dcterms:modified xsi:type="dcterms:W3CDTF">2024-06-25T17:28:54Z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