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fd7415a514db03c986755028501ce7d32026b"/>
    <w:p>
      <w:pPr>
        <w:pStyle w:val="Heading3"/>
      </w:pPr>
      <w:r>
        <w:t xml:space="preserve">«Мосгортранс» снова проиграл в судебном споре с «Бульварным кольцом»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t xml:space="preserve">«Бульварное кольцо» стало победителем торгов, которые «Мосгортранс» провёл 5 мая 2011 г. При стартовой цене контракта в 442,22 млн руб. за пять лет агентство предложило почти 2,2 млрд руб. Согласно тендерной документации, победитель аукциона за первый год работы должен перечислить «Мосгортрансу» 13% суммы контракта, за второй – 16%, за третий – 20%, за четвёртый – 24% и за пятый – 27%.</w:t>
      </w:r>
      <w:r>
        <w:t xml:space="preserve"> </w:t>
      </w:r>
      <w:r>
        <w:t xml:space="preserve">Сразу после торгов эксперты ooh-рынка говорили о том, что итоги аукциона экономически необоснованны, а требования к размещению рекламы предельно жёсткие. Позже «Бульварное кольцо» попросило пересмотреть условия контракта. Но департамент СМИ и рекламы Москвы не согласился с этим. «Мосгортранс» пообещал выделять необходимое количество ТС из числа старого парка. Позже технические проблемы с размещением на новых автобусах были решены.</w:t>
      </w:r>
      <w:r>
        <w:t xml:space="preserve"> </w:t>
      </w:r>
      <w:r>
        <w:t xml:space="preserve">В январе прошлого года ГУП подало иск к агентству в Арбитражный суд Москвы на сумму в 349 млн руб. Тогда в ситуацию вмешался департамент СМИ и рекламы, и «Бульварное кольцо» продолжило работу в качестве рекламного подрядчика «Мосгортранса». Однако в декабре 2014 г. тогдашний руководитель ведомства Владимир Черников, выступая на конференции «Эффективная наружная реклама: новая реальность», организованной журналом Outdoor Media, сообщил, что у агентства вновь могут возникнуть проблемы с платежами.</w:t>
      </w:r>
      <w:r>
        <w:t xml:space="preserve"> </w:t>
      </w:r>
      <w:r>
        <w:t xml:space="preserve">Напомним, в январе ГУП «Мосгортранс» разорвало договор с «Бульварным кольцом», размещавшим рекламу на наземном общественном транспорте в столице (около 5 тыс. автобусов, 1,1 тыс. троллейбусов и 700 трамваев). Действие контракта прекращено «по причине недобросовестного исполнения условий и обязательств». Кроме того, «Мосгортранс» подал в Арбитражный суд Москвы иск к агентству почти на 469,8 млн руб.</w:t>
      </w:r>
      <w:r>
        <w:t xml:space="preserve"> </w:t>
      </w:r>
      <w:r>
        <w:t xml:space="preserve">В свою очередь «Бульварное кольцо» подало встречный иск на 435 млн руб. В агентстве настаивали на том, что ГУП предоставило ему под размещение рекламы меньшее количество ТС, чем было оговорено ранее. С учётом процентов сумма иска агентства увеличилась почти до 444 млн руб.</w:t>
      </w:r>
      <w:r>
        <w:t xml:space="preserve"> </w:t>
      </w:r>
      <w:r>
        <w:t xml:space="preserve">Арбитражный суд Москвы встал на сторону агентства, поскольку предприятие не смогло предоставить никаких доказательств того, что предоставило «Бульварному кольцу» услуги в большем объёме, чем тот заявил на суде. «Мосгортранс» не согласился с этим решением и пода апелляцию. Однако 9 арбитражный апелляционный суд Москвы оставил решение предыдущего суда без изменения, а жалобу ГУП без удовлетворения.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http://gorinfor.mos.ru/presscenter/news/detail/2271238.html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71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71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2024-06-25T17:28:52Z</dcterms:created>
  <dcterms:modified xsi:type="dcterms:W3CDTF">2024-06-25T17:28:52Z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