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4fd859b217644dc795dca7b995d479cbb9f4"/>
    <w:p>
      <w:pPr>
        <w:pStyle w:val="Heading3"/>
      </w:pPr>
      <w:r>
        <w:t xml:space="preserve">Более 250 тыс. кв. м наружной рекламы размещено в Москве сегодня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Напомним, недавно портал data.mos.ru актуализировал набор данных по всем имеющимся в Москве объектам наружной рекламы. Всего в реестре указано 18 656 конструкций, каждая паспортизирована по номеру выданного разрешения, дате начала и окончания срока эксплуатации, с указанием собственника, типа и места размещения.</w:t>
      </w:r>
      <w:r>
        <w:t xml:space="preserve"> </w:t>
      </w:r>
      <w:r>
        <w:t xml:space="preserve">В реестре данных – 9034 конструкции, установленных по итогам ранее проведённых торгов на рекламные места в городе, 8698 щитов на остановках общественного транспорта, а также 924 рекламные конструкции, размещённые на объектах частной собственности, включая билборды и стелы на территории торгово-развлекательные центров.</w:t>
      </w:r>
      <w:r>
        <w:t xml:space="preserve"> </w:t>
      </w:r>
      <w:r>
        <w:t xml:space="preserve">Как извсетно, в 2013 г. в Москве на аукционах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начале этого года департамент СМИ и рекламы расторг договор с компанией «Илион».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выигранных на торгах, невозможно было установить из-за реконструкции автомагистралей.</w:t>
      </w:r>
      <w:r>
        <w:t xml:space="preserve"> </w:t>
      </w:r>
      <w:r>
        <w:t xml:space="preserve">В ноябре столичные операторы наружной рекламы должны будут заплатить в бюджет города 8 млрд руб. Ранее глава департамента СМИ и рекламы Иван Шубин в интервью m24.ru отмечал, что с учётом кризиса власти могут рассмотреть вопрос смягчения условий для outdoor-компаний, но пока конкретного решения нет.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http://gorinfor.mos.ru/presscenter/news/detail/2221123.html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2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2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2025-07-06T10:13:18Z</dcterms:created>
  <dcterms:modified xsi:type="dcterms:W3CDTF">2025-07-06T10:13:18Z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