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896f1651a789b49314124a67b7d3c061b9c53"/>
    <w:p>
      <w:pPr>
        <w:pStyle w:val="Heading3"/>
      </w:pPr>
      <w:r>
        <w:t xml:space="preserve">Демонтированные в Москве рекламные конструкции уйдут с молотка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По данным департамента, сейчас на складах хранится более 20 тыс. снесённых конструкций различного формата. И с каждым годом их становится всё больше. Предполагается, что стартовая цена лота с демонтированными конструкциями будет определяться на основании экспертного заключения.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2023-09-20T16:44:49Z</dcterms:created>
  <dcterms:modified xsi:type="dcterms:W3CDTF">2023-09-20T16:44:49Z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