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ласти-москвы-ограничили-яркость-рекламы"/>
    <w:p>
      <w:pPr>
        <w:pStyle w:val="Heading3"/>
      </w:pPr>
      <w:r>
        <w:t xml:space="preserve">Власти Москвы ограничили яркость рекламы</w:t>
      </w:r>
    </w:p>
    <w:p>
      <w:pPr>
        <w:pStyle w:val="FirstParagraph"/>
      </w:pPr>
      <w:r>
        <w:t xml:space="preserve">05.10.2015</w:t>
      </w:r>
    </w:p>
    <w:p>
      <w:pPr>
        <w:pStyle w:val="BodyText"/>
      </w:pPr>
      <w:r>
        <w:t xml:space="preserve">В столичном департаменте СМИ и рекламы отмечают, что ранее по заказу ведомства была осуществлена техническая экспертиза воздействия световой рекламы на засветку окон. Специалисты из НИИ строительной физики провели контрольные измерения яркости медиафасадов на ряде улиц и установили превышение норм вертикальной освещенности на окнах жилых зданий.</w:t>
      </w:r>
      <w:r>
        <w:t xml:space="preserve"> </w:t>
      </w:r>
      <w:r>
        <w:t xml:space="preserve">Теперь, по изменённым правилам, смена изображения в тёмное время суток должна производиться не чаще одного раза в одну минуту и только в режиме плавного снижения-повышения яркости. Исключение сделано для экранов на высотках Нового Арбата, которые включены в отдельную концепцию её оформления.</w:t>
      </w:r>
      <w:r>
        <w:t xml:space="preserve"> </w:t>
      </w:r>
      <w:r>
        <w:t xml:space="preserve">Кроме того, поправки предусматривают и другие нововведения в правила размещения наружной рекламы. В частности, не допускается установка более одной конструкции на крыше, за исключением зданий торгово-развлекательных центров, кинотеатров, театров и спортивных сооружений.</w:t>
      </w:r>
      <w:r>
        <w:t xml:space="preserve"> </w:t>
      </w:r>
      <w:r>
        <w:t xml:space="preserve">Также департамент СМИ и рекламы наделён полномочиями по продаже незаконно установленных рекламных конструкций, демонтированных в установленном порядке.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http://gorinfor.mos.ru/presscenter/news/detail/2201661.html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01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01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2024-05-31T00:34:04Z</dcterms:created>
  <dcterms:modified xsi:type="dcterms:W3CDTF">2024-05-31T00:34:04Z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