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416be0efa8674b9437b5935f1a53a45422932"/>
    <w:p>
      <w:pPr>
        <w:pStyle w:val="Heading3"/>
      </w:pPr>
      <w:r>
        <w:t xml:space="preserve">Наружная реклама столичного «Детского мира» привела к делу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Специалисты антимонопольного ведомства посчитали неправомерными формулировки рекламной кампании, в которой родителям предлагалось отвести детей на Лубянку, а также повелительное наклонение в рекламных слоганах: «Любишь ребенка? Отведи в Центральный детский магазин на Лубянке!».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2024-07-31T17:57:55Z</dcterms:created>
  <dcterms:modified xsi:type="dcterms:W3CDTF">2024-07-31T17:57:55Z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