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1ad6ce2fb3f0f2ed7dbc3d205a1786042782f"/>
    <w:p>
      <w:pPr>
        <w:pStyle w:val="Heading3"/>
      </w:pPr>
      <w:r>
        <w:t xml:space="preserve">Количество outdoor-операторов в Москве к концу года может сократиться</w:t>
      </w:r>
    </w:p>
    <w:p>
      <w:pPr>
        <w:pStyle w:val="FirstParagraph"/>
      </w:pPr>
      <w:r>
        <w:t xml:space="preserve">05.10.2015</w:t>
      </w:r>
    </w:p>
    <w:p>
      <w:pPr>
        <w:pStyle w:val="BodyText"/>
      </w:pPr>
      <w:r>
        <w:t xml:space="preserve">По словам генерального директора Posterscope Анатолия Купреева, который выступал на форуме в качестве модератора, проблемы в московской ooh-индустрии одинаково волнуют всех её участников: и операторов, и рекламные агентства, и рекламодателей. Поэтому основными направлениями дискуссии стали, в частности, политика городского департамента СМИ и рекламы в outdoor-сфере, последствия торгов на рекламные места, отношение столичных властей к проблеме ГОСТа и т. 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http://gorinfor.mos.ru/presscenter/news/detail/2201339.html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01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01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2025-07-30T09:30:41Z</dcterms:created>
  <dcterms:modified xsi:type="dcterms:W3CDTF">2025-07-30T09:30:41Z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