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d48ea3cd96f34701e9dcab0a25600939f7006"/>
    <w:p>
      <w:pPr>
        <w:pStyle w:val="Heading3"/>
      </w:pPr>
      <w:r>
        <w:t xml:space="preserve">В Москве в сентябре выявлено более 30 незаконных брендомобилей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Лидерами по количеству выявленных брендомобилей остаются ВАО и ЮВАО Москвы – 14 конструкций. В то же время в ЦАО не было зафиксировано ни одного случая незаконной эксплуатации «газелей» в рекламных целях.</w:t>
      </w:r>
      <w:r>
        <w:t xml:space="preserve"> </w:t>
      </w:r>
      <w:r>
        <w:t xml:space="preserve">«Урегулирование вопроса в данной сфере и его приведение в соответствие с законом «О рекламе», который запрещает преимущественное использование транспортных средств в рекламных целях, городские власти начали систематически решать три года назад. За это время ситуацию с использованием подобных конструкций в городе удалось существенно переломить», – отмечают в департаменте.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http://gorinfor.mos.ru/presscenter/news/detail/2184019.html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184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184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2025-07-25T16:45:50Z</dcterms:created>
  <dcterms:modified xsi:type="dcterms:W3CDTF">2025-07-25T16:45:50Z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