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b33f84eb6771dae4fc4a41acee4612590e234"/>
    <w:p>
      <w:pPr>
        <w:pStyle w:val="Heading3"/>
      </w:pPr>
      <w:r>
        <w:t xml:space="preserve">Столичные власти намерены взыскать с операторов старые долги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В департаменте отмечают, что задолженность «Никэ» не является самой крупной. Компания «Ньюформ интернейшенел», по данным ведомства, должна более 200 млн руб. В целом операторы, которые ушли со столичного рынка наружной рекламы после проведения торгов, должны городу по прежним контрактам до 1 млрд руб.</w:t>
      </w:r>
      <w:r>
        <w:t xml:space="preserve"> </w:t>
      </w:r>
      <w:r>
        <w:t xml:space="preserve">Напомним, в начале года ведомство расторгло договор с компанией «Илион» (структура «Никэ», приобрела 802 места за 13,2 млрд руб). Оператор не смог заплатить в бюджет Москвы 1,3 млрд руб. за второй год работы на столичном рынке наружной рекламы. Представители оператора не раз отмечали, что часть конструкций, около 200 шт., невозможно было установить из-за реконструкции автомагистралей. Оператор пытался договориться с властями об изменении условий контракта. Затем через суд намеревался изменить условия контракта.</w:t>
      </w:r>
      <w:r>
        <w:t xml:space="preserve"> </w:t>
      </w:r>
      <w:r>
        <w:t xml:space="preserve">Согласно аукционной документации, в торгах имели право участвовать компании, у которых не было задолженности перед бюджетом. У «Илиона», в отличие от «Никэ» такой проблемы не было.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http://gorinfor.mos.ru/presscenter/news/detail/2153462.html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153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153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2025-07-17T13:58:04Z</dcterms:created>
  <dcterms:modified xsi:type="dcterms:W3CDTF">2025-07-17T13:58:04Z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