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6a0773acbb0bfc5f45bd154092ba022827dbe"/>
    <w:p>
      <w:pPr>
        <w:pStyle w:val="Heading3"/>
      </w:pPr>
      <w:r>
        <w:t xml:space="preserve">В вестибюлях московского метро могут появиться 3D-экраны</w:t>
      </w:r>
    </w:p>
    <w:p>
      <w:pPr>
        <w:pStyle w:val="FirstParagraph"/>
      </w:pPr>
      <w:r>
        <w:t xml:space="preserve">25.08.2015</w:t>
      </w:r>
    </w:p>
    <w:p>
      <w:pPr>
        <w:pStyle w:val="BodyText"/>
      </w:pPr>
      <w:r>
        <w:t xml:space="preserve">Напомним, Московский метрополитен в одностороннем порядке расторг договор на право размещения рекламы с компанией «Авто Селл» в июле этого года. По словам представителей ГУП сначала «Авто Селл» исправно выполнял свои обязательства. Но в апреле этого года «Авто Селл» перестал делать необходимые платежи. В итоге общий долг компании перед Московским метрополитеном по состоянию на 30 июня составил более 1,12 млрд руб. В начале июля метрополитен» обратился в Арбитражный суд Москвы о взыскании образовавшейся задолженности по причине её непогашения в добровольном порядке.</w:t>
      </w:r>
      <w:r>
        <w:t xml:space="preserve"> </w:t>
      </w:r>
      <w:r>
        <w:t xml:space="preserve">По состоянию на 10 августа 2015 г. метрополитеном произведён демонтаж рекламных стикеров в подвижном составе силами электродепо, которые в настоящее время проводят расчёт стоимости проведённых работ. При этом по просьбе департамента СМИ и рекламы Москвы сохранены стикеры, социальная значимость которых подтверждена решением межведомственной комиссии правительства Москвы по вопросам распространения рекламы.</w:t>
      </w:r>
      <w:r>
        <w:t xml:space="preserve"> </w:t>
      </w:r>
      <w:r>
        <w:t xml:space="preserve">Комментируя предстоящие торги по поиску нового рекламного подрядчика, представители метрополитена отметили, что победителю предстоит реализовать новую рекламную концепцию, которая объединит как традиционные для столичной подземки виды рекламных носителей, так и современные цифровые и световые конструкции. В её рамках будет предоставлена возможность размещения крупноформатных рекламных носителей с использованием фирменного стиля компаний на станциях и подвижном составе.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http://gorinfor.mos.ru/presscenter/news/detail/2093445.html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093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093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2025-07-14T21:34:13Z</dcterms:created>
  <dcterms:modified xsi:type="dcterms:W3CDTF">2025-07-14T21:34:13Z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