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d3e59426e414d37640159a0beeff0ed2ba0c6"/>
    <w:p>
      <w:pPr>
        <w:pStyle w:val="Heading3"/>
      </w:pPr>
      <w:r>
        <w:t xml:space="preserve">Компания «Лайса Диджитал» установила первый digital-суперсайт в Москве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Размер рекламного поля и высота расположения конструкции обеспечивают отличную видимость с расстояния до 500 м. Разрешающая способность светодиодных панелей – 2500 пикселей/м2. Яркость – 8000 KD/м2.</w:t>
      </w:r>
      <w:r>
        <w:t xml:space="preserve"> </w:t>
      </w:r>
      <w:r>
        <w:t xml:space="preserve">«Такой формат – доминирующий среди остальных outdoor-носителей. Яркое цветное динамическое изображение практически невозможно проигнорировать. Рекламодатель сможет оценить возможность проведения краткосрочных рекламных кампаний (от одного дня) на таком носителе. Технологичность конструкции позволяет быстро и бесплатно изменить рекламную кампанию в режиме онлайн», – говорит генеральный директор компании «Лайса Диджитал» Руслан Желудик.</w:t>
      </w:r>
      <w:r>
        <w:t xml:space="preserve"> </w:t>
      </w:r>
      <w:r>
        <w:t xml:space="preserve">К концу лета ООО «Лайса Диджитал» планирует установить на ТТК и основных проспектах города 10 экранов с равномерным покрытием всего радиуса кольца и пересекающих его магистралей. Это позволит проводить качественные сбалансированные кампании с равномерным охватом.</w:t>
      </w:r>
      <w:r>
        <w:t xml:space="preserve"> </w:t>
      </w:r>
      <w:r>
        <w:t xml:space="preserve">Справка:</w:t>
      </w:r>
      <w:r>
        <w:t xml:space="preserve"> </w:t>
      </w:r>
      <w:r>
        <w:t xml:space="preserve">Компания ООО «Лайса Диджитал» – совместное предприятие, созданное компанией «Железнодорожное Рекламное Агентство Лайса» и компанией «Паблик Медиа».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http://gorinfor.mos.ru/presscenter/news/detail/1892929.html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892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892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2024-06-27T15:10:32Z</dcterms:created>
  <dcterms:modified xsi:type="dcterms:W3CDTF">2024-06-27T15:10:32Z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