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99407cb501259e789c10d54de85178237f4de"/>
    <w:p>
      <w:pPr>
        <w:pStyle w:val="Heading3"/>
      </w:pPr>
      <w:r>
        <w:t xml:space="preserve">В Москве утверждена концепция праздничного оформления ко Дню Победы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В концепции представлены стилеообразующие элементы оформления Москвы, проекты оформления транспортных объектов и объектов потребительского рынка, флагового оформления города и интерактивных акций. В проекте будут задействованы многие форматы наружной рекламы: афишные стенды, билборды, медиафасады и т. 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http://gorinfor.mos.ru/presscenter/news/detail/1798361.html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98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98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2023-09-20T16:55:02Z</dcterms:created>
  <dcterms:modified xsi:type="dcterms:W3CDTF">2023-09-20T16:55:02Z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