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c08cde497ce5da57be1de733fa0358fef0645"/>
    <w:p>
      <w:pPr>
        <w:pStyle w:val="Heading3"/>
      </w:pPr>
      <w:r>
        <w:t xml:space="preserve">Банк Москвы ищет подрядчика для размещения ooh-рекламы в 2015 году</w:t>
      </w:r>
    </w:p>
    <w:p>
      <w:pPr>
        <w:pStyle w:val="FirstParagraph"/>
      </w:pPr>
      <w:r>
        <w:t xml:space="preserve">28.03.2015</w:t>
      </w:r>
    </w:p>
    <w:p>
      <w:pPr>
        <w:pStyle w:val="BodyText"/>
      </w:pPr>
      <w:r>
        <w:t xml:space="preserve">Согласно тендерной документации, победитель займётся закупкой площадей в наружной рекламе, метрополитене, наземном общественном транспорте и т. д. Подрядчик должен будет составить адресную программу для рекламных кампаний и в случае сноса заявленных в ней конструкций найти им замену.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http://gorinfor.mos.ru/presscenter/news/detail/1724809.html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2025-07-24T23:59:47Z</dcterms:created>
  <dcterms:modified xsi:type="dcterms:W3CDTF">2025-07-24T23:59:47Z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