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a52c003d2e2dcb211a9da766cb5c3ffd0a055"/>
    <w:p>
      <w:pPr>
        <w:pStyle w:val="Heading3"/>
      </w:pPr>
      <w:r>
        <w:t xml:space="preserve">«Горбушкин Двор» отправился в поездку по Москве на общественном транспорте</w:t>
      </w:r>
    </w:p>
    <w:p>
      <w:pPr>
        <w:pStyle w:val="FirstParagraph"/>
      </w:pPr>
      <w:r>
        <w:t xml:space="preserve">11.02.2015</w:t>
      </w:r>
    </w:p>
    <w:p>
      <w:pPr>
        <w:pStyle w:val="BodyText"/>
      </w:pPr>
      <w:r>
        <w:t xml:space="preserve">В рамках проекта забрендировано более 470 поверхностей, и уже с начала февраля по улицам столицы курсируют ярко-красные автобусы, привлекая внимание водителей и пешеходов. Помимо художественного оформления медиамикс включает 500 внутрисалонных стикеров.</w:t>
      </w:r>
      <w:r>
        <w:t xml:space="preserve"> </w:t>
      </w:r>
      <w:r>
        <w:t xml:space="preserve">«Транзитная реклама, обладая мобильностью, широким охватом и всегда находящаяся в центре жизни мегаполиса, отвечает всем нашим запросам и позволяет добиться поставленной цели. К тому же в современной напряженной ситуации на рынке статичных форматов транспорт – отличный способ охватить центральные районы города, оставаясь при этом в рамках заложенного бюджета», – говорит заместитель генерального директора по маркетингу ТД «Горбушкин Двор» Венера Хамидулина.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http://gorinfor.mos.ru/presscenter/news/detail/1724685.html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2025-07-12T13:43:37Z</dcterms:created>
  <dcterms:modified xsi:type="dcterms:W3CDTF">2025-07-12T13:43:37Z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