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2b848b14b96a84eb9a4c0d87cf0566658c26c"/>
    <w:p>
      <w:pPr>
        <w:pStyle w:val="Heading3"/>
      </w:pPr>
      <w:r>
        <w:t xml:space="preserve">Московский ТРЦ «Филион» воспользовался общественным транспортом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«Транспорт – отличное средство коммуникации с массовой аудиторией. Ресурс даёт отличную возможность для креатива – яркие оригинальные макеты на движущемся носителе эффективно привлекают внимание потребителя. В проекте задействованы три разных макета, объединяя два посыла в одной кампании», – говорит заместитель генерального директора по маркетингу ОАО «МТЗ «Рубин» Венера Хамидулина.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2024-08-04T05:57:18Z</dcterms:created>
  <dcterms:modified xsi:type="dcterms:W3CDTF">2024-08-04T05:57:18Z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