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90048484fc1a428818223f5ee2e55d00c8e34"/>
    <w:p>
      <w:pPr>
        <w:pStyle w:val="Heading3"/>
      </w:pPr>
      <w:r>
        <w:t xml:space="preserve">Московская наружка принесла в бюджет 10 млрд руб. в 2014 г.</w:t>
      </w:r>
    </w:p>
    <w:p>
      <w:pPr>
        <w:pStyle w:val="FirstParagraph"/>
      </w:pPr>
      <w:r>
        <w:t xml:space="preserve">05.02.2015</w:t>
      </w:r>
    </w:p>
    <w:p>
      <w:pPr>
        <w:pStyle w:val="BodyText"/>
      </w:pPr>
      <w:r>
        <w:t xml:space="preserve">«Рекламный рынок, несмотря на не совсем стабильное состояние, продолжает функционировать. Компании строят свою экономику, исходя из того что сегодня они не получат сверхдоходов, но они остаются на рынке, платят деньги в бюджет и спокойно работают. На сегодня только компания «Никэ» не сумела заплатить и подала в суд заявление о банкротстве», – заявил Владимир Черников.</w:t>
      </w:r>
      <w:r>
        <w:t xml:space="preserve"> </w:t>
      </w:r>
      <w:r>
        <w:t xml:space="preserve">Источник: Outdoor.Ru</w:t>
      </w:r>
      <w:r>
        <w:t xml:space="preserve"> </w:t>
      </w:r>
      <w:r>
        <w:t xml:space="preserve">Возврат к списку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http://gorinfor.mos.ru/presscenter/news/detail/1724579.html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2024-06-25T22:23:46Z</dcterms:created>
  <dcterms:modified xsi:type="dcterms:W3CDTF">2024-06-25T22:23:46Z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