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к-заплатила-за-2024-год"/>
    <w:p>
      <w:pPr>
        <w:pStyle w:val="Heading3"/>
      </w:pPr>
      <w:r>
        <w:t xml:space="preserve">ТРК заплатила за 2024 год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r>
        <w:t xml:space="preserve">Напрмним, о итогам аукциона, состоявшегося 4 сентября 2013 г., ТРК получила возможность установить в Москве более 1,3 тыс. рекламоносителей. Ещё 124 конструкции выиграл «Олимп» (структура компании «Вера &amp; Олимп»). Всего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По количеству рекламоносителей ТРК стала вторым игроком московского рынка наружной рекламы после Russ Outdoor (владеет более 2,1 тыс. носителей) – в её активе, с учётом торгов 2013 г., около 1,5 тыс. конструкций.</w:t>
      </w:r>
      <w:r>
        <w:t xml:space="preserve"> </w:t>
      </w:r>
      <w:r>
        <w:t xml:space="preserve">Платёж осуществлён полностью из собственных средств «Гемы», сообщила газета «Ведомости» со ссылкой на Гюлю Коган, заместителя гендиректора ТРК.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2024-06-22T05:20:41Z</dcterms:created>
  <dcterms:modified xsi:type="dcterms:W3CDTF">2024-06-22T05:20:41Z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