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cc64a196a58b2ef5545f48c3bbcc267475367"/>
    <w:p>
      <w:pPr>
        <w:pStyle w:val="Heading3"/>
      </w:pPr>
      <w:r>
        <w:t xml:space="preserve">Банк Москвы планирует затратить на ooh-рекламу почти 91 млн рублей в 2015 году</w:t>
      </w:r>
    </w:p>
    <w:p>
      <w:pPr>
        <w:pStyle w:val="FirstParagraph"/>
      </w:pPr>
      <w:r>
        <w:t xml:space="preserve">13.01.2015</w:t>
      </w:r>
    </w:p>
    <w:p>
      <w:pPr>
        <w:pStyle w:val="BodyText"/>
      </w:pPr>
      <w:r>
        <w:t xml:space="preserve">Согласно тендерной документации, при оценке стоимости размещения будут оцениваться соответствие бюджетного распределения запросу банка регионам, а также стоимость размещения в Москве и регионах. При оценке качества размещения оцениваются соответствие запросу банка предлагаемой адресной программы и форматов рекламоносителей.</w:t>
      </w:r>
      <w:r>
        <w:t xml:space="preserve"> </w:t>
      </w:r>
      <w:r>
        <w:t xml:space="preserve">Окончание приёма заявок для участия в аукционе и вскрытие конвертов состоятся 16 января, дата рассмотрения предложений – 27 января.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2024-06-19T19:05:01Z</dcterms:created>
  <dcterms:modified xsi:type="dcterms:W3CDTF">2024-06-19T19:05:01Z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