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380745d404bae5784d877467eb2e0197e0f72"/>
    <w:p>
      <w:pPr>
        <w:pStyle w:val="Heading3"/>
      </w:pPr>
      <w:r>
        <w:t xml:space="preserve">В Москве проходит V Ежегодная конференция «Эффективные indoor-решения: скрытые возможности»</w:t>
      </w:r>
    </w:p>
    <w:p>
      <w:pPr>
        <w:pStyle w:val="FirstParagraph"/>
      </w:pPr>
      <w:r>
        <w:t xml:space="preserve">24.03.2015</w:t>
      </w:r>
    </w:p>
    <w:p>
      <w:pPr>
        <w:pStyle w:val="BodyText"/>
      </w:pPr>
      <w:r>
        <w:t xml:space="preserve">Конференция состоит из пяти модулей, в рамках которых участники форума представят эффективные кейсы, софт подсчёта медиапоказателей, библиотеку indoor-форматов, результаты последних исследований, реальную практику реализации indoor-проектов</w:t>
      </w:r>
      <w:r>
        <w:t xml:space="preserve"> </w:t>
      </w:r>
      <w:r>
        <w:t xml:space="preserve">Подробности о конференции, её программе можно узнать ЗДЕСЬ.</w:t>
      </w:r>
      <w:r>
        <w:t xml:space="preserve"> </w:t>
      </w:r>
      <w:r>
        <w:t xml:space="preserve">Стратегический партнёр форума – компания «АЙZmedia»</w:t>
      </w:r>
      <w:r>
        <w:t xml:space="preserve"> </w:t>
      </w:r>
      <w:r>
        <w:t xml:space="preserve">Официальные партнёры – компании «Билборд ТВ&amp; Широкий формат», Tashir Media</w:t>
      </w:r>
      <w:r>
        <w:t xml:space="preserve"> </w:t>
      </w:r>
      <w:r>
        <w:t xml:space="preserve">Партнёр – компания VITA media group, Fitness Media, Video Planning</w:t>
      </w:r>
      <w:r>
        <w:t xml:space="preserve"> </w:t>
      </w:r>
      <w:r>
        <w:t xml:space="preserve">Информационный партнёр – портал AdIndex.ru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http://gorinfor.mos.ru/presscenter/news/detail/1710325.html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10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10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2023-09-20T16:56:53Z</dcterms:created>
  <dcterms:modified xsi:type="dcterms:W3CDTF">2023-09-20T16:56:53Z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