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2a79e48263d2c61f4f70dbdf80c491cdbe981"/>
    <w:p>
      <w:pPr>
        <w:pStyle w:val="Heading3"/>
      </w:pPr>
      <w:r>
        <w:t xml:space="preserve">Размещение наружной рекламы и вывесок может быть ограничено рядом с Московским Кремлём</w:t>
      </w:r>
    </w:p>
    <w:p>
      <w:pPr>
        <w:pStyle w:val="FirstParagraph"/>
      </w:pPr>
      <w:r>
        <w:t xml:space="preserve">12.03.2015</w:t>
      </w:r>
    </w:p>
    <w:p>
      <w:pPr>
        <w:pStyle w:val="BodyText"/>
      </w:pPr>
      <w:r>
        <w:t xml:space="preserve">Согласно документу, Кремль, Красная, Болотная и Манежная площади, прилегающие к ним улицы, Васильевский спуск, Зарядье и окрестности храма Христа Спасителя являются охраняемыми зонами. На их территории будет запрещено строительство капитальных зданий и жёстко регламентировано возведение временных построек, размещение наружной рекламы и вывесок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http://gorinfor.mos.ru/presscenter/news/detail/1649683.html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649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649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2024-06-22T03:39:41Z</dcterms:created>
  <dcterms:modified xsi:type="dcterms:W3CDTF">2024-06-22T03:39:41Z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