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b9c3bf846d45825b69c157b639a318a28ffe3"/>
    <w:p>
      <w:pPr>
        <w:pStyle w:val="Heading3"/>
      </w:pPr>
      <w:r>
        <w:t xml:space="preserve">ГБУ «ГОРИНФОР» выставило на продажу элементы демонтированных рекламных и информационных конструкций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В состав аукциона входят лот №4, лот №5, лот №6.</w:t>
      </w:r>
      <w:r>
        <w:t xml:space="preserve"> </w:t>
      </w:r>
      <w:r>
        <w:t xml:space="preserve">Начальная цена лота №4 состовляет 10605,00 руб.</w:t>
      </w:r>
      <w:r>
        <w:t xml:space="preserve"> </w:t>
      </w:r>
      <w:r>
        <w:t xml:space="preserve">Начальная цена лота №5 составляет 28034,00 руб.</w:t>
      </w:r>
      <w:r>
        <w:t xml:space="preserve"> </w:t>
      </w:r>
      <w:r>
        <w:t xml:space="preserve">Начальная цена лота №6 составляет 32474,00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http://gorinfor.mos.ru/presscenter/news/detail/12548808.html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2548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2548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2025-07-25T23:57:45Z</dcterms:created>
  <dcterms:modified xsi:type="dcterms:W3CDTF">2025-07-25T23:57:45Z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