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7ced0fbbef83b509d9bb8b0ca7009856d38de8"/>
    <w:p>
      <w:pPr>
        <w:pStyle w:val="Heading3"/>
      </w:pPr>
      <w:r>
        <w:t xml:space="preserve">Вступили в силу поправки в закон «О рекламе» относительно займов</w:t>
      </w:r>
    </w:p>
    <w:p>
      <w:pPr>
        <w:pStyle w:val="FirstParagraph"/>
      </w:pPr>
      <w:r>
        <w:t xml:space="preserve">25.06.2014</w:t>
      </w:r>
    </w:p>
    <w:p>
      <w:pPr>
        <w:pStyle w:val="BodyText"/>
      </w:pPr>
      <w:r>
        <w:t xml:space="preserve">22 июня вступили в силу изменения в ст. 28 ФЗ «О рекламе», касающиеся займов. Так, если реклама содержит хотя бы одно условие, влияющее на стоимость кредита или займа, то должны быть указаны и все остальные условия. Также в ст. 28 ФЗ «О рекламе» внесена ч.13, в соответствии с которой реклама услуг по предоставлению потребительских займов лицами, не осуществляющими профессиональную деятельность по предоставлению потребительских займов в соответствии с ФЗ «О потребительском кредите (займе)», не допускается.</w:t>
      </w:r>
      <w:r>
        <w:br/>
      </w:r>
      <w:r>
        <w:br/>
      </w:r>
      <w:r>
        <w:t xml:space="preserve">Напомним, сейчас на рассмотрении в Государственной думе РФ находится несколько законопроектов, касающихся ФЗ «О рекламе». 10 июня 2014 г. Дума приняла в первом чтении законопроект, направленный на приведение громкости звука рекламы в соответствие с</w:t>
      </w:r>
      <w:r>
        <w:t xml:space="preserve"> </w:t>
      </w:r>
      <w:hyperlink r:id="rId20">
        <w:r>
          <w:rPr>
            <w:rStyle w:val="Hyperlink"/>
          </w:rPr>
          <w:t xml:space="preserve">громкостью звука теле- и радиопрограмм</w:t>
        </w:r>
      </w:hyperlink>
      <w:r>
        <w:t xml:space="preserve">. Также первое чтение прошел законопроект, в соответствии с которым предлагается внести изменения в ч.8 ст. 24 ФЗ «О рекламе» в части исключения слов «медицинских услуг, в том числе», «профилактики, диагностики», «и медицинской реабилитации» и «, для использования которых требуется специальная подготовка».</w:t>
      </w:r>
    </w:p>
    <w:p>
      <w:pPr>
        <w:pStyle w:val="BodyText"/>
      </w:pPr>
      <w:r>
        <w:br/>
      </w: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http://gorinfor.mos.ru/presscenter/news/detail/1094193.html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1094193.html" TargetMode="External" /><Relationship Type="http://schemas.openxmlformats.org/officeDocument/2006/relationships/hyperlink" Id="rId21" Target="http://outdoor.ru/" TargetMode="External" /><Relationship Type="http://schemas.openxmlformats.org/officeDocument/2006/relationships/hyperlink" Id="rId20" Target="http://www.outdoor.ru/market/24336/?sphrase_id=912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1094193.html" TargetMode="External" /><Relationship Type="http://schemas.openxmlformats.org/officeDocument/2006/relationships/hyperlink" Id="rId21" Target="http://outdoor.ru/" TargetMode="External" /><Relationship Type="http://schemas.openxmlformats.org/officeDocument/2006/relationships/hyperlink" Id="rId20" Target="http://www.outdoor.ru/market/24336/?sphrase_id=912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2024-06-20T00:04:25Z</dcterms:created>
  <dcterms:modified xsi:type="dcterms:W3CDTF">2024-06-20T00:04:25Z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