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b151160d31caeae9a3c1f32105755c6908e463"/>
    <w:p>
      <w:pPr>
        <w:pStyle w:val="Heading3"/>
      </w:pPr>
      <w:r>
        <w:t xml:space="preserve">Запрет размещения рекламы на памятниках утвержден в первом чтении</w:t>
      </w:r>
    </w:p>
    <w:p>
      <w:pPr>
        <w:pStyle w:val="FirstParagraph"/>
      </w:pPr>
      <w:r>
        <w:t xml:space="preserve">19.06.2014</w:t>
      </w:r>
    </w:p>
    <w:p>
      <w:pPr>
        <w:pStyle w:val="BodyText"/>
      </w:pPr>
      <w:r>
        <w:t xml:space="preserve">«Размещение наружной рекламы на памятниках приводит к изменению их облика, нарушает целостность исторического и архитектурного замысла, формирует искаженное художественное восприятие исторических ценностей у подрастающего поколения. А установка тяжеловесных рекламных конструкций влияет на устойчивость и сохранность памятников», – сказал первый заместитель министра культуры Владимир Аристархов, представляя документ на пленарном заседании парламента.</w:t>
      </w:r>
    </w:p>
    <w:p>
      <w:pPr>
        <w:pStyle w:val="BodyText"/>
      </w:pPr>
      <w:r>
        <w:t xml:space="preserve">В то же время запрет не коснется наружной рекламы, информирующей о различных культурных, театрально-зрелищных и просветительских мероприятиях, которые планируется проводить на объектах культурного наследия и их территориях. Требования к размещению афиш будут включаться в охранное обязательство собственника или пользователя объекта культурного наследия.</w:t>
      </w:r>
    </w:p>
    <w:p>
      <w:pPr>
        <w:pStyle w:val="BodyText"/>
      </w:pPr>
      <w:r>
        <w:t xml:space="preserve">При этом разрешения на рекламные конструкции, установленные на объектах культурного наследия и выданные до вступления в силу данного законопроекта, будут действовать до истечения их срока.</w:t>
      </w:r>
    </w:p>
    <w:p>
      <w:pPr>
        <w:pStyle w:val="BodyText"/>
      </w:pPr>
      <w:r>
        <w:br/>
      </w:r>
      <w:r>
        <w:t xml:space="preserve">Источник:</w:t>
      </w:r>
      <w:r>
        <w:t xml:space="preserve"> </w:t>
      </w:r>
      <w:hyperlink r:id="rId20">
        <w:r>
          <w:rPr>
            <w:rStyle w:val="Hyperlink"/>
          </w:rPr>
          <w:t xml:space="preserve">Outdoor.Ru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http://gorinfor.mos.ru/presscenter/news/detail/1084215.html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1084215.html" TargetMode="External" /><Relationship Type="http://schemas.openxmlformats.org/officeDocument/2006/relationships/hyperlink" Id="rId20" Target="http://outdoo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1084215.html" TargetMode="External" /><Relationship Type="http://schemas.openxmlformats.org/officeDocument/2006/relationships/hyperlink" Id="rId20" Target="http://outdoo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2025-06-04T04:05:49Z</dcterms:created>
  <dcterms:modified xsi:type="dcterms:W3CDTF">2025-06-04T04:05:49Z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