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й-весенний-велофестиваль"/>
    <w:p>
      <w:pPr>
        <w:pStyle w:val="Heading3"/>
      </w:pPr>
      <w:r>
        <w:t xml:space="preserve">МОСКОВСКИЙ ВЕСЕННИЙ ВЕЛОФЕСТИВАЛЬ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t xml:space="preserve">Ближайший, весенний, велофестиваль состоится 21 мая. Он пройдет в два этапа: традиционная велогонка для спортсменов-любителей https://cyclingrace.ru/ и велозаезд для всех велосипедистов. Участники велозаезда стартуют от проспекта Академика Сахарова (внешняя сторона) и сделают круг по Садовому кольцу.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Подробнее </w:t>
      </w:r>
      <w:hyperlink r:id="rId20">
        <w:r>
          <w:rPr>
            <w:rStyle w:val="Hyperlink"/>
          </w:rPr>
          <w:t xml:space="preserve">https://mosvelofest.ru/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http://gorinfor.mos.ru/presscenter/news/detail/10789594.html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789594.html" TargetMode="External" /><Relationship Type="http://schemas.openxmlformats.org/officeDocument/2006/relationships/hyperlink" Id="rId20" Target="https://mosvelof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789594.html" TargetMode="External" /><Relationship Type="http://schemas.openxmlformats.org/officeDocument/2006/relationships/hyperlink" Id="rId20" Target="https://mosvelof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2024-06-23T01:19:17Z</dcterms:created>
  <dcterms:modified xsi:type="dcterms:W3CDTF">2024-06-23T01:19:17Z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