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a3d5b5c372ce2da00a9280521d21dec6457ba"/>
    <w:p>
      <w:pPr>
        <w:pStyle w:val="Heading3"/>
      </w:pPr>
      <w:r>
        <w:t xml:space="preserve">В Москве газетные киоски могут стать городской собственностью</w:t>
      </w:r>
    </w:p>
    <w:p>
      <w:pPr>
        <w:pStyle w:val="FirstParagraph"/>
      </w:pPr>
      <w:r>
        <w:t xml:space="preserve">04.06.2014</w:t>
      </w:r>
    </w:p>
    <w:p>
      <w:pPr>
        <w:pStyle w:val="BodyText"/>
      </w:pPr>
      <w:r>
        <w:t xml:space="preserve">Ранее предполагалось, что газетные многофункциональные киоски по итогам торгов могут быть отданы под управление операторов наружной рекламы. Планировалось, что компании будут их устанавливать за свой счет, а за это получат возможность размещать на них рекламу. В 2013 г Москомархитектура даже утвердила новый тип газетных киосков. Однако недавно стало известно, что власти решили отказаться от этой идеи. В качестве причины называлось отсутствие интереса со стороны outdoor-операторов, которые потратили большие средства на покупку рекламных мест на аукционе, состоявшемся в августе 2013 г.</w:t>
      </w:r>
      <w:r>
        <w:br/>
      </w:r>
      <w:r>
        <w:br/>
      </w:r>
      <w:r>
        <w:t xml:space="preserve">Стоит добавить, что в июне 2013 г. в Москве прошла первая выставка современной уличной мебели «Город для жизни». Среди прочих экспонатов выставки, разработанных компаниями Russ Outdoor и JCDecaux и выполненных с использованием последних мировых ноу-хау в сфере городского обустройства, было представлено два вида киосков.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http://gorinfor.mos.ru/presscenter/news/detail/1067970.html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2024-06-26T13:33:10Z</dcterms:created>
  <dcterms:modified xsi:type="dcterms:W3CDTF">2024-06-26T13:33:10Z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