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ff0fd3e413dd54ae7465f4f8429cec8cbc8c3"/>
    <w:p>
      <w:pPr>
        <w:pStyle w:val="Heading3"/>
      </w:pPr>
      <w:r>
        <w:t xml:space="preserve">Щиты «ДНА Медиа» появятся в Шаховском районе Подмосковья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t xml:space="preserve">«Мы развиваем сеть для того, чтобы наши клиенты могли иметь возможность проводить рекламные кампании в интересующих их районах. Наше агентство всегда внимательно относится к выбору площадок для установки рекламных носителей, и мы готовы к сотрудничеству как с крупными федеральными рекламодателями, так и с локальными клиентами из любой точки России», – говорит коммерческий директор outdoor-направления компании «ДНА Медиа» Татьяна Литвинюк.</w:t>
      </w:r>
      <w:r>
        <w:br/>
      </w:r>
      <w:r>
        <w:br/>
      </w:r>
      <w:r>
        <w:t xml:space="preserve">Отметим, недавно «ДНА Медиа» в рамках программы по расширению своей сети рекламоносителей начала установку рекламных конструкций в Шатуре. Здесь агентство планирует разместить щиты 6х3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http://gorinfor.mos.ru/presscenter/news/detail/1067941.html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2023-09-20T17:06:52Z</dcterms:created>
  <dcterms:modified xsi:type="dcterms:W3CDTF">2023-09-20T17:06:52Z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