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6f05e43f81ed72a02673e0eebc522eed342d9"/>
    <w:p>
      <w:pPr>
        <w:pStyle w:val="Heading3"/>
      </w:pPr>
      <w:r>
        <w:t xml:space="preserve">Об итогах претензионной работы ГБУ «ГОРИНФОР» за первое полугодие 2021 года</w:t>
      </w:r>
    </w:p>
    <w:p>
      <w:pPr>
        <w:pStyle w:val="FirstParagraph"/>
      </w:pPr>
      <w:r>
        <w:t xml:space="preserve">30.08.2021</w:t>
      </w:r>
    </w:p>
    <w:p>
      <w:pPr>
        <w:pStyle w:val="BodyText"/>
      </w:pPr>
      <w:r>
        <w:t xml:space="preserve">В рамках неукоснительного соблюдения учреждением законодательства продолжается активное применение штрафных санкций за ненадлежащее исполнение контрагентами договорных обязательств.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за период с 1 января текущего года учреждением организована претензионная работа по 24 контрактам, в результате которой общая сумма начисленных поставщикам, подрядчикам и исполнителям неустоек превысила 880 тыс.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инициативе учреждения сведения в отношении 3 контрагентов, в том числе об их руководителях и учредителях, внесены Управлением Федеральной антимонопольной службы по г. Москве в реестр недобросовестных поставщиков (подрядчиков, исполнителей), что предполагает запрет на их участие в закупках в течение 2 лет, а также существенное ухудшение деловой репутации.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ГБУ «ГОРИНФОР» повторно напоминает потенциальным участникам проводимых учреждением закупок на неизбежность применения мер ответственности в случае ненадлежащего исполнения заключённых договоров.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http://gorinfor.mos.ru/presscenter/news/detail/10213570.html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21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21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2024-06-20T00:01:52Z</dcterms:created>
  <dcterms:modified xsi:type="dcterms:W3CDTF">2024-06-20T00:01:52Z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